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CF" w:rsidRPr="00A761A9" w:rsidRDefault="00CC4FCF" w:rsidP="00CC4FC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61A9">
        <w:rPr>
          <w:rFonts w:ascii="Times New Roman" w:eastAsia="Times New Roman" w:hAnsi="Times New Roman"/>
          <w:b/>
          <w:sz w:val="28"/>
          <w:szCs w:val="28"/>
          <w:lang w:eastAsia="ru-RU"/>
        </w:rPr>
        <w:t>Карта</w:t>
      </w:r>
      <w:r w:rsidRPr="00AD54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самооценки </w:t>
      </w:r>
      <w:r w:rsidRPr="00A761A9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результативности инновационной деятельности</w:t>
      </w:r>
    </w:p>
    <w:p w:rsidR="00CC4FCF" w:rsidRPr="00A761A9" w:rsidRDefault="00CC4FCF" w:rsidP="00CC4F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61A9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</w:t>
      </w:r>
      <w:r w:rsidRPr="00AD5423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A761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423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организации, завершающей работ</w:t>
      </w:r>
      <w:r w:rsidR="00983000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AD54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статусе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>«П</w:t>
      </w:r>
      <w:r w:rsidRPr="00CE5F24">
        <w:rPr>
          <w:rFonts w:ascii="Times New Roman" w:hAnsi="Times New Roman"/>
          <w:b/>
          <w:sz w:val="28"/>
          <w:szCs w:val="28"/>
        </w:rPr>
        <w:t>лощадка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инициативного проекта</w:t>
      </w:r>
      <w:r w:rsidRPr="00CE5F24">
        <w:rPr>
          <w:rFonts w:ascii="Times New Roman" w:hAnsi="Times New Roman"/>
          <w:b/>
          <w:sz w:val="28"/>
          <w:szCs w:val="28"/>
        </w:rPr>
        <w:t>»</w:t>
      </w:r>
    </w:p>
    <w:p w:rsidR="00CC4FCF" w:rsidRDefault="00CC4FCF" w:rsidP="00CC4F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FCF" w:rsidRPr="00A761A9" w:rsidRDefault="00CC4FCF" w:rsidP="00A62E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1A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D542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61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0F18" w:rsidRPr="002D0F18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 дополнительного образования «Центр «Молодые таланты»</w:t>
      </w:r>
    </w:p>
    <w:p w:rsidR="00CC4FCF" w:rsidRPr="00A761A9" w:rsidRDefault="00CC4FCF" w:rsidP="00CC4F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F18" w:rsidRDefault="00CC4FCF" w:rsidP="00A62E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1A9">
        <w:rPr>
          <w:rFonts w:ascii="Times New Roman" w:eastAsia="Times New Roman" w:hAnsi="Times New Roman"/>
          <w:sz w:val="28"/>
          <w:szCs w:val="28"/>
          <w:lang w:eastAsia="ru-RU"/>
        </w:rPr>
        <w:t>Тема инновации</w:t>
      </w:r>
      <w:r w:rsidR="00A62E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761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0F18" w:rsidRPr="002D0F18">
        <w:rPr>
          <w:rFonts w:ascii="Times New Roman" w:eastAsia="Times New Roman" w:hAnsi="Times New Roman"/>
          <w:sz w:val="28"/>
          <w:szCs w:val="28"/>
          <w:lang w:eastAsia="ru-RU"/>
        </w:rPr>
        <w:t>Площадка муниципального инициативного проекта «Механизмы сетевой реализации дополнительной общеобразовательной программы на муниципальном уровне в условиях осуществления персонифицированного финансирования дополнительного образования детей».</w:t>
      </w:r>
    </w:p>
    <w:p w:rsidR="00CC4FCF" w:rsidRPr="00A761A9" w:rsidRDefault="00CC4FCF" w:rsidP="002D0F1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61A9">
        <w:rPr>
          <w:rFonts w:ascii="Times New Roman" w:eastAsia="Times New Roman" w:hAnsi="Times New Roman"/>
          <w:b/>
          <w:sz w:val="28"/>
          <w:szCs w:val="28"/>
          <w:lang w:eastAsia="ru-RU"/>
        </w:rPr>
        <w:t>Насколько результативна инновационная деятельность в О</w:t>
      </w:r>
      <w:r w:rsidRPr="00AD542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A761A9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CC4FCF" w:rsidRPr="00A761A9" w:rsidRDefault="00CC4FCF" w:rsidP="00CC4F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61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Оцените по </w:t>
      </w:r>
      <w:proofErr w:type="spellStart"/>
      <w:r w:rsidRPr="00A761A9">
        <w:rPr>
          <w:rFonts w:ascii="Times New Roman" w:eastAsia="Times New Roman" w:hAnsi="Times New Roman"/>
          <w:b/>
          <w:sz w:val="28"/>
          <w:szCs w:val="28"/>
          <w:lang w:eastAsia="ru-RU"/>
        </w:rPr>
        <w:t>четырехбалльной</w:t>
      </w:r>
      <w:proofErr w:type="spellEnd"/>
      <w:r w:rsidRPr="00A761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шкале:</w:t>
      </w:r>
    </w:p>
    <w:tbl>
      <w:tblPr>
        <w:tblpPr w:leftFromText="180" w:rightFromText="180" w:vertAnchor="text" w:horzAnchor="page" w:tblpX="2004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"/>
        <w:gridCol w:w="851"/>
        <w:gridCol w:w="851"/>
        <w:gridCol w:w="851"/>
        <w:gridCol w:w="851"/>
        <w:gridCol w:w="1792"/>
      </w:tblGrid>
      <w:tr w:rsidR="00CC4FCF" w:rsidRPr="00A761A9" w:rsidTr="00F07475">
        <w:trPr>
          <w:cantSplit/>
        </w:trPr>
        <w:tc>
          <w:tcPr>
            <w:tcW w:w="1522" w:type="dxa"/>
            <w:vMerge w:val="restart"/>
            <w:vAlign w:val="center"/>
          </w:tcPr>
          <w:p w:rsidR="00CC4FCF" w:rsidRPr="00A761A9" w:rsidRDefault="00CC4FCF" w:rsidP="00F0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Очень мало</w:t>
            </w:r>
          </w:p>
        </w:tc>
        <w:tc>
          <w:tcPr>
            <w:tcW w:w="851" w:type="dxa"/>
          </w:tcPr>
          <w:p w:rsidR="00CC4FCF" w:rsidRPr="00A761A9" w:rsidRDefault="00CC4FCF" w:rsidP="00F07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CC4FCF" w:rsidRPr="00A761A9" w:rsidRDefault="00CC4FCF" w:rsidP="00F07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CC4FCF" w:rsidRPr="00A761A9" w:rsidRDefault="00CC4FCF" w:rsidP="00F07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CC4FCF" w:rsidRPr="00A761A9" w:rsidRDefault="00CC4FCF" w:rsidP="00F07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7" w:type="dxa"/>
            <w:vMerge w:val="restart"/>
            <w:vAlign w:val="center"/>
          </w:tcPr>
          <w:p w:rsidR="00CC4FCF" w:rsidRPr="00A761A9" w:rsidRDefault="00CC4FCF" w:rsidP="00F0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Превосходно</w:t>
            </w:r>
          </w:p>
        </w:tc>
      </w:tr>
      <w:tr w:rsidR="00CC4FCF" w:rsidRPr="00A761A9" w:rsidTr="00F07475">
        <w:trPr>
          <w:cantSplit/>
        </w:trPr>
        <w:tc>
          <w:tcPr>
            <w:tcW w:w="1522" w:type="dxa"/>
            <w:vMerge/>
            <w:vAlign w:val="bottom"/>
          </w:tcPr>
          <w:p w:rsidR="00CC4FCF" w:rsidRPr="00A761A9" w:rsidRDefault="00CC4FCF" w:rsidP="00F07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C4FCF" w:rsidRPr="00A761A9" w:rsidRDefault="00CC4FCF" w:rsidP="00F07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C4FCF" w:rsidRPr="00A761A9" w:rsidRDefault="00CC4FCF" w:rsidP="00F07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C4FCF" w:rsidRPr="00A761A9" w:rsidRDefault="00CC4FCF" w:rsidP="00F07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C4FCF" w:rsidRPr="00A761A9" w:rsidRDefault="006257F9" w:rsidP="00F07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67" w:type="dxa"/>
            <w:vMerge/>
            <w:vAlign w:val="bottom"/>
          </w:tcPr>
          <w:p w:rsidR="00CC4FCF" w:rsidRPr="00A761A9" w:rsidRDefault="00CC4FCF" w:rsidP="00F07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C4FCF" w:rsidRPr="00A761A9" w:rsidRDefault="00CC4FCF" w:rsidP="00CC4F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4FCF" w:rsidRPr="00A761A9" w:rsidRDefault="00CC4FCF" w:rsidP="00CC4F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FCF" w:rsidRPr="00A761A9" w:rsidRDefault="00CC4FCF" w:rsidP="00CC4F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4FCF" w:rsidRPr="00675144" w:rsidRDefault="00CC4FCF" w:rsidP="00CC4FCF">
      <w:pPr>
        <w:spacing w:after="0" w:line="240" w:lineRule="auto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:rsidR="00CC4FCF" w:rsidRPr="00A761A9" w:rsidRDefault="00CC4FCF" w:rsidP="00CC4F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61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Почему вы так считаете? </w:t>
      </w:r>
    </w:p>
    <w:p w:rsidR="00CC4FCF" w:rsidRDefault="00CC4FCF" w:rsidP="00CC4F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61A9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A761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правой колонке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опишите </w:t>
      </w:r>
      <w:r w:rsidRPr="00A761A9">
        <w:rPr>
          <w:rFonts w:ascii="Times New Roman" w:eastAsia="Times New Roman" w:hAnsi="Times New Roman"/>
          <w:i/>
          <w:sz w:val="28"/>
          <w:szCs w:val="28"/>
          <w:lang w:eastAsia="ru-RU"/>
        </w:rPr>
        <w:t>имеющиеся данные по О</w:t>
      </w:r>
      <w:r w:rsidRPr="00AD5423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Pr="00A761A9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CC4FCF" w:rsidRPr="00A761A9" w:rsidRDefault="00CC4FCF" w:rsidP="00CC4F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379"/>
      </w:tblGrid>
      <w:tr w:rsidR="00CC4FCF" w:rsidRPr="00A761A9" w:rsidTr="005561E5">
        <w:tc>
          <w:tcPr>
            <w:tcW w:w="3686" w:type="dxa"/>
            <w:vAlign w:val="center"/>
          </w:tcPr>
          <w:p w:rsidR="00CC4FCF" w:rsidRPr="00A761A9" w:rsidRDefault="00CC4FCF" w:rsidP="00F0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761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Критерий</w:t>
            </w:r>
          </w:p>
        </w:tc>
        <w:tc>
          <w:tcPr>
            <w:tcW w:w="6379" w:type="dxa"/>
          </w:tcPr>
          <w:p w:rsidR="00CC4FCF" w:rsidRPr="005561E5" w:rsidRDefault="00CC4FCF" w:rsidP="00F0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6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Данные, факты</w:t>
            </w:r>
          </w:p>
        </w:tc>
      </w:tr>
      <w:tr w:rsidR="00CC4FCF" w:rsidRPr="00A761A9" w:rsidTr="005561E5">
        <w:tc>
          <w:tcPr>
            <w:tcW w:w="3686" w:type="dxa"/>
            <w:vAlign w:val="center"/>
          </w:tcPr>
          <w:p w:rsidR="00CC4FCF" w:rsidRPr="00A761A9" w:rsidRDefault="00CC4FCF" w:rsidP="00F0747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761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Определены цели и задачи инновационной деятельности</w:t>
            </w:r>
          </w:p>
        </w:tc>
        <w:tc>
          <w:tcPr>
            <w:tcW w:w="6379" w:type="dxa"/>
          </w:tcPr>
          <w:p w:rsidR="005561E5" w:rsidRPr="005561E5" w:rsidRDefault="005561E5" w:rsidP="002D0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темой проекта выделены следующие задачи:</w:t>
            </w:r>
          </w:p>
          <w:p w:rsidR="005561E5" w:rsidRPr="005561E5" w:rsidRDefault="005561E5" w:rsidP="00556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задачи:</w:t>
            </w:r>
          </w:p>
          <w:p w:rsidR="005561E5" w:rsidRPr="005561E5" w:rsidRDefault="005561E5" w:rsidP="00556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расширение спектра образовательных услуг в целях обеспечения охвата дополнительными образовательными программами обучающихся городского округа город Рыбинск в системе ПФДО;</w:t>
            </w:r>
          </w:p>
          <w:p w:rsidR="005561E5" w:rsidRPr="005561E5" w:rsidRDefault="005561E5" w:rsidP="00556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педагогами дополнительного образования нового информационно-образовательного пространства, способов и приемов поиска и использования в образовательном процессе современных образовательных ресурсов;</w:t>
            </w:r>
          </w:p>
          <w:p w:rsidR="005561E5" w:rsidRPr="005561E5" w:rsidRDefault="005561E5" w:rsidP="00556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введение в практику педагогов дополнительного образования сетевой формы педагогической и учебной деятельности, направленной на формирование результатов, необходимых для успешного функционирования в современном обществе;</w:t>
            </w:r>
          </w:p>
          <w:p w:rsidR="005561E5" w:rsidRPr="005561E5" w:rsidRDefault="005561E5" w:rsidP="00556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Организационные задачи:</w:t>
            </w:r>
          </w:p>
          <w:p w:rsidR="005561E5" w:rsidRPr="005561E5" w:rsidRDefault="005561E5" w:rsidP="00556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механизма сетевого взаимодействия, адекватного образовательным потребностям и ресурсному обеспечению образовательных организаций;</w:t>
            </w:r>
          </w:p>
          <w:p w:rsidR="005561E5" w:rsidRPr="005561E5" w:rsidRDefault="005561E5" w:rsidP="00556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56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реализация новых подходов к организационному построению образовательного процесса в образовательных организация, включенных в образовательную сеть;</w:t>
            </w:r>
            <w:proofErr w:type="gramEnd"/>
          </w:p>
          <w:p w:rsidR="00CC4FCF" w:rsidRPr="005561E5" w:rsidRDefault="005561E5" w:rsidP="00556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банка нормативно-правовых актов, необходимых для организации обучения в условиях ПФДО в рамках сетевого взаимодействия.</w:t>
            </w:r>
            <w:r w:rsidR="002D0F18" w:rsidRPr="00556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4FCF" w:rsidRPr="00A761A9" w:rsidTr="005561E5">
        <w:trPr>
          <w:trHeight w:val="3032"/>
        </w:trPr>
        <w:tc>
          <w:tcPr>
            <w:tcW w:w="3686" w:type="dxa"/>
            <w:vAlign w:val="center"/>
          </w:tcPr>
          <w:p w:rsidR="00CC4FCF" w:rsidRPr="00A761A9" w:rsidRDefault="00CC4FCF" w:rsidP="00F0747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1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Созданы условия, обеспечивающие инновационную деятельность    </w:t>
            </w:r>
          </w:p>
          <w:p w:rsidR="00CC4FCF" w:rsidRPr="00A761A9" w:rsidRDefault="00CC4FCF" w:rsidP="00CC4FCF">
            <w:pPr>
              <w:numPr>
                <w:ilvl w:val="0"/>
                <w:numId w:val="1"/>
              </w:numPr>
              <w:spacing w:after="0" w:line="240" w:lineRule="auto"/>
              <w:rPr>
                <w:rFonts w:ascii="TimesNewRoman,Italic" w:eastAsia="Times New Roman" w:hAnsi="TimesNewRoman,Italic" w:cs="TimesNewRoman,Italic"/>
                <w:iCs/>
                <w:sz w:val="26"/>
                <w:szCs w:val="26"/>
                <w:lang w:eastAsia="ru-RU"/>
              </w:rPr>
            </w:pPr>
            <w:r w:rsidRPr="00A761A9">
              <w:rPr>
                <w:rFonts w:ascii="TimesNewRoman,Italic" w:eastAsia="Times New Roman" w:hAnsi="TimesNewRoman,Italic" w:cs="TimesNewRoman,Italic"/>
                <w:iCs/>
                <w:sz w:val="26"/>
                <w:szCs w:val="26"/>
                <w:lang w:eastAsia="ru-RU"/>
              </w:rPr>
              <w:t>мотивационные</w:t>
            </w:r>
          </w:p>
          <w:p w:rsidR="00CC4FCF" w:rsidRPr="00A761A9" w:rsidRDefault="00CC4FCF" w:rsidP="00CC4FCF">
            <w:pPr>
              <w:numPr>
                <w:ilvl w:val="0"/>
                <w:numId w:val="1"/>
              </w:numPr>
              <w:spacing w:after="0" w:line="240" w:lineRule="auto"/>
              <w:rPr>
                <w:rFonts w:ascii="TimesNewRoman,Italic" w:eastAsia="Times New Roman" w:hAnsi="TimesNewRoman,Italic" w:cs="TimesNewRoman,Italic"/>
                <w:iCs/>
                <w:sz w:val="26"/>
                <w:szCs w:val="26"/>
                <w:lang w:eastAsia="ru-RU"/>
              </w:rPr>
            </w:pPr>
            <w:r w:rsidRPr="00A761A9">
              <w:rPr>
                <w:rFonts w:ascii="TimesNewRoman,Italic" w:eastAsia="Times New Roman" w:hAnsi="TimesNewRoman,Italic" w:cs="TimesNewRoman,Italic"/>
                <w:iCs/>
                <w:sz w:val="26"/>
                <w:szCs w:val="26"/>
                <w:lang w:eastAsia="ru-RU"/>
              </w:rPr>
              <w:t>кадровые</w:t>
            </w:r>
          </w:p>
          <w:p w:rsidR="00CC4FCF" w:rsidRPr="00A761A9" w:rsidRDefault="00CC4FCF" w:rsidP="00CC4FCF">
            <w:pPr>
              <w:numPr>
                <w:ilvl w:val="0"/>
                <w:numId w:val="1"/>
              </w:numPr>
              <w:spacing w:after="0" w:line="240" w:lineRule="auto"/>
              <w:rPr>
                <w:rFonts w:ascii="TimesNewRoman,Italic" w:eastAsia="Times New Roman" w:hAnsi="TimesNewRoman,Italic" w:cs="TimesNewRoman,Italic"/>
                <w:iCs/>
                <w:sz w:val="26"/>
                <w:szCs w:val="26"/>
                <w:lang w:eastAsia="ru-RU"/>
              </w:rPr>
            </w:pPr>
            <w:r w:rsidRPr="00A761A9">
              <w:rPr>
                <w:rFonts w:ascii="TimesNewRoman,Italic" w:eastAsia="Times New Roman" w:hAnsi="TimesNewRoman,Italic" w:cs="TimesNewRoman,Italic"/>
                <w:iCs/>
                <w:sz w:val="26"/>
                <w:szCs w:val="26"/>
                <w:lang w:eastAsia="ru-RU"/>
              </w:rPr>
              <w:t>материально-технические</w:t>
            </w:r>
          </w:p>
          <w:p w:rsidR="00CC4FCF" w:rsidRPr="00A761A9" w:rsidRDefault="00CC4FCF" w:rsidP="00CC4FCF">
            <w:pPr>
              <w:numPr>
                <w:ilvl w:val="0"/>
                <w:numId w:val="1"/>
              </w:numPr>
              <w:spacing w:after="0" w:line="240" w:lineRule="auto"/>
              <w:rPr>
                <w:rFonts w:ascii="TimesNewRoman,Italic" w:eastAsia="Times New Roman" w:hAnsi="TimesNewRoman,Italic" w:cs="TimesNewRoman,Italic"/>
                <w:iCs/>
                <w:sz w:val="26"/>
                <w:szCs w:val="26"/>
                <w:lang w:eastAsia="ru-RU"/>
              </w:rPr>
            </w:pPr>
            <w:r w:rsidRPr="00A761A9">
              <w:rPr>
                <w:rFonts w:ascii="TimesNewRoman,Italic" w:eastAsia="Times New Roman" w:hAnsi="TimesNewRoman,Italic" w:cs="TimesNewRoman,Italic"/>
                <w:iCs/>
                <w:sz w:val="26"/>
                <w:szCs w:val="26"/>
                <w:lang w:eastAsia="ru-RU"/>
              </w:rPr>
              <w:t>научно-методические</w:t>
            </w:r>
          </w:p>
          <w:p w:rsidR="00CC4FCF" w:rsidRPr="00A761A9" w:rsidRDefault="00CC4FCF" w:rsidP="00CC4FCF">
            <w:pPr>
              <w:numPr>
                <w:ilvl w:val="0"/>
                <w:numId w:val="1"/>
              </w:numPr>
              <w:spacing w:after="0" w:line="240" w:lineRule="auto"/>
              <w:rPr>
                <w:rFonts w:ascii="TimesNewRoman,Italic" w:eastAsia="Times New Roman" w:hAnsi="TimesNewRoman,Italic" w:cs="TimesNewRoman,Italic"/>
                <w:iCs/>
                <w:sz w:val="26"/>
                <w:szCs w:val="26"/>
                <w:lang w:eastAsia="ru-RU"/>
              </w:rPr>
            </w:pPr>
            <w:r w:rsidRPr="00A761A9">
              <w:rPr>
                <w:rFonts w:ascii="TimesNewRoman,Italic" w:eastAsia="Times New Roman" w:hAnsi="TimesNewRoman,Italic" w:cs="TimesNewRoman,Italic"/>
                <w:iCs/>
                <w:sz w:val="26"/>
                <w:szCs w:val="26"/>
                <w:lang w:eastAsia="ru-RU"/>
              </w:rPr>
              <w:t>финансовые</w:t>
            </w:r>
          </w:p>
          <w:p w:rsidR="00CC4FCF" w:rsidRPr="00A761A9" w:rsidRDefault="00CC4FCF" w:rsidP="00CC4FCF">
            <w:pPr>
              <w:numPr>
                <w:ilvl w:val="0"/>
                <w:numId w:val="1"/>
              </w:numPr>
              <w:spacing w:after="0" w:line="240" w:lineRule="auto"/>
              <w:rPr>
                <w:rFonts w:ascii="TimesNewRoman,Italic" w:eastAsia="Times New Roman" w:hAnsi="TimesNewRoman,Italic" w:cs="TimesNewRoman,Italic"/>
                <w:iCs/>
                <w:sz w:val="26"/>
                <w:szCs w:val="26"/>
                <w:lang w:eastAsia="ru-RU"/>
              </w:rPr>
            </w:pPr>
            <w:r w:rsidRPr="00A761A9">
              <w:rPr>
                <w:rFonts w:ascii="TimesNewRoman,Italic" w:eastAsia="Times New Roman" w:hAnsi="TimesNewRoman,Italic" w:cs="TimesNewRoman,Italic"/>
                <w:iCs/>
                <w:sz w:val="26"/>
                <w:szCs w:val="26"/>
                <w:lang w:eastAsia="ru-RU"/>
              </w:rPr>
              <w:t>организационные</w:t>
            </w:r>
          </w:p>
          <w:p w:rsidR="00CC4FCF" w:rsidRPr="00A761A9" w:rsidRDefault="00CC4FCF" w:rsidP="00CC4FCF">
            <w:pPr>
              <w:numPr>
                <w:ilvl w:val="0"/>
                <w:numId w:val="1"/>
              </w:numPr>
              <w:spacing w:after="0" w:line="240" w:lineRule="auto"/>
              <w:rPr>
                <w:rFonts w:ascii="TimesNewRoman,Italic" w:eastAsia="Times New Roman" w:hAnsi="TimesNewRoman,Italic" w:cs="TimesNewRoman,Italic"/>
                <w:iCs/>
                <w:sz w:val="26"/>
                <w:szCs w:val="26"/>
                <w:lang w:eastAsia="ru-RU"/>
              </w:rPr>
            </w:pPr>
            <w:r w:rsidRPr="00A761A9">
              <w:rPr>
                <w:rFonts w:ascii="TimesNewRoman,Italic" w:eastAsia="Times New Roman" w:hAnsi="TimesNewRoman,Italic" w:cs="TimesNewRoman,Italic"/>
                <w:iCs/>
                <w:sz w:val="26"/>
                <w:szCs w:val="26"/>
                <w:lang w:eastAsia="ru-RU"/>
              </w:rPr>
              <w:t>нормативно-правовые</w:t>
            </w:r>
          </w:p>
          <w:p w:rsidR="00CC4FCF" w:rsidRPr="00A761A9" w:rsidRDefault="00CC4FCF" w:rsidP="00CC4F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761A9">
              <w:rPr>
                <w:rFonts w:ascii="TimesNewRoman,Italic" w:eastAsia="Times New Roman" w:hAnsi="TimesNewRoman,Italic" w:cs="TimesNewRoman,Italic"/>
                <w:iCs/>
                <w:sz w:val="26"/>
                <w:szCs w:val="26"/>
                <w:lang w:eastAsia="ru-RU"/>
              </w:rPr>
              <w:t>информационные</w:t>
            </w:r>
          </w:p>
        </w:tc>
        <w:tc>
          <w:tcPr>
            <w:tcW w:w="6379" w:type="dxa"/>
          </w:tcPr>
          <w:p w:rsidR="00A62E46" w:rsidRPr="00A62E46" w:rsidRDefault="00A62E46" w:rsidP="00A62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реализации настоящего проекта за основу был взят типовой алгоритм построения системы сетевого взаимодействия для реализации образовательных программ, предложенный Фондом новых форм развития образования, </w:t>
            </w:r>
            <w:proofErr w:type="gramStart"/>
            <w:r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созданном</w:t>
            </w:r>
            <w:proofErr w:type="gramEnd"/>
            <w:r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инициативе Министерства просвещения Российской Федерации. В содержательном плане механизм реализации настоящего проекта представ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</w:t>
            </w:r>
            <w:r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виде четырех блоков:</w:t>
            </w:r>
          </w:p>
          <w:p w:rsidR="00A62E46" w:rsidRPr="00A62E46" w:rsidRDefault="00A62E46" w:rsidP="00A62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аны</w:t>
            </w:r>
            <w:r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регламентирующи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порядок организации сетевого взаимодействия;</w:t>
            </w:r>
          </w:p>
          <w:p w:rsidR="00A62E46" w:rsidRPr="00A62E46" w:rsidRDefault="00A62E46" w:rsidP="00A62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Определен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механизм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финансового обеспечения;</w:t>
            </w:r>
          </w:p>
          <w:p w:rsidR="00A62E46" w:rsidRPr="00A62E46" w:rsidRDefault="00A62E46" w:rsidP="00A62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 и подписан д</w:t>
            </w:r>
            <w:r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оговор о сетевом взаимодействии;</w:t>
            </w:r>
          </w:p>
          <w:p w:rsidR="00CC4FCF" w:rsidRPr="00AE7548" w:rsidRDefault="00A62E46" w:rsidP="00A62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</w:t>
            </w:r>
            <w:r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реализ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ована</w:t>
            </w:r>
            <w:r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ДООП «Экономика в нашей жизни».</w:t>
            </w:r>
          </w:p>
        </w:tc>
      </w:tr>
      <w:tr w:rsidR="00CC4FCF" w:rsidRPr="00A761A9" w:rsidTr="005561E5">
        <w:trPr>
          <w:trHeight w:val="641"/>
        </w:trPr>
        <w:tc>
          <w:tcPr>
            <w:tcW w:w="3686" w:type="dxa"/>
          </w:tcPr>
          <w:p w:rsidR="00CC4FCF" w:rsidRPr="00A761A9" w:rsidRDefault="00CC4FCF" w:rsidP="00F0747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761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Разработаны критерии результативности инновационной деятельности</w:t>
            </w:r>
          </w:p>
        </w:tc>
        <w:tc>
          <w:tcPr>
            <w:tcW w:w="6379" w:type="dxa"/>
          </w:tcPr>
          <w:p w:rsidR="00CC4FCF" w:rsidRDefault="00A62E46" w:rsidP="00F07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критериям оценки инновационной деятельности можно отнести следующие:</w:t>
            </w:r>
          </w:p>
          <w:p w:rsidR="00A62E46" w:rsidRPr="00A62E46" w:rsidRDefault="00A62E46" w:rsidP="00A62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разработанных нормативно-правовых документов по теме инновационной деятельности</w:t>
            </w:r>
            <w:r w:rsidR="000C2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62E46" w:rsidRPr="00A62E46" w:rsidRDefault="00A62E46" w:rsidP="00A62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Степень разработанности учебно-методического и научно-методического обеспечения </w:t>
            </w:r>
            <w:r w:rsidR="000C2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проекта;</w:t>
            </w:r>
          </w:p>
          <w:p w:rsidR="00A62E46" w:rsidRPr="00A62E46" w:rsidRDefault="000C20CA" w:rsidP="00A62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62E46"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образования </w:t>
            </w:r>
            <w:proofErr w:type="gramStart"/>
            <w:r w:rsidR="00A62E46"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62E46" w:rsidRPr="00A62E46" w:rsidRDefault="000C20CA" w:rsidP="00A62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62E46"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сопровождение инновационной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C4FCF" w:rsidRPr="00AE7548" w:rsidRDefault="000C20CA" w:rsidP="000C20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62E46" w:rsidRPr="00A62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значимость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проекта.</w:t>
            </w:r>
          </w:p>
        </w:tc>
      </w:tr>
      <w:tr w:rsidR="00CC4FCF" w:rsidRPr="00A761A9" w:rsidTr="005561E5">
        <w:tc>
          <w:tcPr>
            <w:tcW w:w="3686" w:type="dxa"/>
          </w:tcPr>
          <w:p w:rsidR="00CC4FCF" w:rsidRPr="00A761A9" w:rsidRDefault="00CC4FCF" w:rsidP="00F0747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1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Подобран инструментарий для оценки результативности</w:t>
            </w:r>
            <w:r w:rsidRPr="00AD54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761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инновационной деятельности по выбранным критериям</w:t>
            </w:r>
          </w:p>
        </w:tc>
        <w:tc>
          <w:tcPr>
            <w:tcW w:w="6379" w:type="dxa"/>
          </w:tcPr>
          <w:p w:rsidR="00CC4FCF" w:rsidRDefault="000C20CA" w:rsidP="00F07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качестве инструментов оценки инновационной деятельности использовались оценочные средства в ДООП. Для оценки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аттрактивности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содержательности форм образовательной деятельности применялся метод наблюдения и контент-анализа.</w:t>
            </w:r>
          </w:p>
          <w:p w:rsidR="00CC4FCF" w:rsidRPr="005561E5" w:rsidRDefault="000C20CA" w:rsidP="000C20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целью оценки общего впечатления о программе и достижения заявленных цели и задач применялся инструментарий Навигатора ПФДО.</w:t>
            </w:r>
          </w:p>
        </w:tc>
      </w:tr>
      <w:tr w:rsidR="00CC4FCF" w:rsidRPr="00A761A9" w:rsidTr="005561E5">
        <w:tc>
          <w:tcPr>
            <w:tcW w:w="3686" w:type="dxa"/>
            <w:vAlign w:val="center"/>
          </w:tcPr>
          <w:p w:rsidR="00CC4FCF" w:rsidRPr="00A761A9" w:rsidRDefault="00CC4FCF" w:rsidP="00F0747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1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Подведены конечные результаты инновационной работы (результаты учащихся, результаты педагогов, результаты в виде изменения характеристик и условий образовательного процесса)</w:t>
            </w:r>
          </w:p>
        </w:tc>
        <w:tc>
          <w:tcPr>
            <w:tcW w:w="6379" w:type="dxa"/>
          </w:tcPr>
          <w:p w:rsidR="000C20CA" w:rsidRDefault="000C20CA" w:rsidP="000C20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</w:t>
            </w:r>
            <w:r w:rsidRPr="000C2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своение механизма, адекватного образовательным потребностям и ресурсному обеспечению образовательных организаций, входящих в сетевое взаимодействие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C20CA" w:rsidRDefault="000C20CA" w:rsidP="000C20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C2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спектра образовательных услуг в целях обеспечения охвата дополнительными образовательными программами обучающихся городского округа город Рыбинск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C20CA" w:rsidRDefault="000C20CA" w:rsidP="000C20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C2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новых подходов к организационному построению образовательного процесса в образовательных организация, включенных в образовательную сеть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0C20CA" w:rsidRDefault="000C20CA" w:rsidP="000C20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C2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педагогами дополнительного образования нового информационно-образовательного пространства, способов и приемов поиска и использования в образовательном процессе современных образовательных ресурсов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C20CA" w:rsidRDefault="000C20CA" w:rsidP="000C20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C2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банка нормативно-правовых актов, необходимых для организации обучения в условиях ПФДО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C4FCF" w:rsidRPr="00AE7548" w:rsidRDefault="000C20CA" w:rsidP="000C20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C2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в практику педагогов дополнительного образования сетевых форм педагогической и учебной </w:t>
            </w:r>
            <w:r w:rsidRPr="000C2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деятельности, направленных на формирование результатов, необходимых для успешного функционирования в современном обществе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C4FCF" w:rsidRPr="00A761A9" w:rsidRDefault="00CC4FCF" w:rsidP="00CC4FCF">
      <w:pPr>
        <w:spacing w:before="120"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D54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Ответьте на вопросы по итогам реализации проекта</w:t>
      </w:r>
    </w:p>
    <w:tbl>
      <w:tblPr>
        <w:tblpPr w:leftFromText="180" w:rightFromText="180" w:vertAnchor="text" w:horzAnchor="page" w:tblpX="1216" w:tblpY="116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5004"/>
      </w:tblGrid>
      <w:tr w:rsidR="00CC4FCF" w:rsidRPr="00A761A9" w:rsidTr="00F07475">
        <w:tc>
          <w:tcPr>
            <w:tcW w:w="5085" w:type="dxa"/>
          </w:tcPr>
          <w:p w:rsidR="00CC4FCF" w:rsidRPr="00A761A9" w:rsidRDefault="00CC4FCF" w:rsidP="00F07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61A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Какие задачи в ходе работы в статусе инновационной площадки были решены наиболее успешно?</w:t>
            </w:r>
          </w:p>
        </w:tc>
        <w:tc>
          <w:tcPr>
            <w:tcW w:w="5004" w:type="dxa"/>
          </w:tcPr>
          <w:p w:rsidR="00CC4FCF" w:rsidRPr="00A761A9" w:rsidRDefault="00CC4FCF" w:rsidP="00F0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61A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Почему?</w:t>
            </w:r>
          </w:p>
        </w:tc>
      </w:tr>
      <w:tr w:rsidR="00CC4FCF" w:rsidRPr="00A761A9" w:rsidTr="00F07475">
        <w:tc>
          <w:tcPr>
            <w:tcW w:w="5085" w:type="dxa"/>
          </w:tcPr>
          <w:p w:rsidR="00CC4FCF" w:rsidRDefault="009B59FD" w:rsidP="009B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9B59FD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- расширение спектра образовательных услуг в целях обеспечения охвата дополнительными образовательными программами обучающихся городского округа город Рыбинск в системе ПФДО;</w:t>
            </w:r>
          </w:p>
          <w:p w:rsidR="009B59FD" w:rsidRDefault="009B59FD" w:rsidP="009B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9B59FD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- введение в практику педагогов дополнительного образования сетевой формы педагогической и учебной деятельности, направленной на формирование результатов, необходимых для успешного функционирования в современном обществе;</w:t>
            </w:r>
          </w:p>
          <w:p w:rsidR="009B59FD" w:rsidRPr="009B59FD" w:rsidRDefault="009B59FD" w:rsidP="009B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556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банка нормативно-правовых актов, необходимых для организации обучения в условиях ПФДО в рамках сетевого взаимодействия.</w:t>
            </w:r>
          </w:p>
        </w:tc>
        <w:tc>
          <w:tcPr>
            <w:tcW w:w="5004" w:type="dxa"/>
          </w:tcPr>
          <w:p w:rsidR="00CC4FCF" w:rsidRPr="009B59FD" w:rsidRDefault="009B59FD" w:rsidP="009B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- Внедрена в образовательную практику новая форма ведения деятельности в системе дополнительного образования. </w:t>
            </w:r>
          </w:p>
          <w:p w:rsidR="00CC4FCF" w:rsidRDefault="000B021E" w:rsidP="009B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- Освоена успешная форма реализации ДООП в сетевой форме совместно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МУБиНТ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. </w:t>
            </w:r>
          </w:p>
          <w:p w:rsidR="000B021E" w:rsidRPr="009B59FD" w:rsidRDefault="000B021E" w:rsidP="009B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- Успешно проведена работа по составлению НПА для ведения образовательного процесса в сет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евой форме. </w:t>
            </w:r>
          </w:p>
        </w:tc>
      </w:tr>
      <w:tr w:rsidR="00CC4FCF" w:rsidRPr="00A761A9" w:rsidTr="00F07475">
        <w:tc>
          <w:tcPr>
            <w:tcW w:w="5085" w:type="dxa"/>
          </w:tcPr>
          <w:p w:rsidR="00CC4FCF" w:rsidRPr="00A761A9" w:rsidRDefault="00CC4FCF" w:rsidP="00F07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61A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Какие задачи не удалось решить? </w:t>
            </w:r>
          </w:p>
        </w:tc>
        <w:tc>
          <w:tcPr>
            <w:tcW w:w="5004" w:type="dxa"/>
          </w:tcPr>
          <w:p w:rsidR="00CC4FCF" w:rsidRPr="00A761A9" w:rsidRDefault="00CC4FCF" w:rsidP="00F0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61A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чём вы видите причину? </w:t>
            </w:r>
          </w:p>
        </w:tc>
      </w:tr>
      <w:tr w:rsidR="00CC4FCF" w:rsidRPr="00A761A9" w:rsidTr="00F07475">
        <w:tc>
          <w:tcPr>
            <w:tcW w:w="5085" w:type="dxa"/>
          </w:tcPr>
          <w:p w:rsidR="00CC4FCF" w:rsidRPr="000B021E" w:rsidRDefault="000B021E" w:rsidP="00A97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0B021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Нет</w:t>
            </w:r>
          </w:p>
        </w:tc>
        <w:tc>
          <w:tcPr>
            <w:tcW w:w="5004" w:type="dxa"/>
          </w:tcPr>
          <w:p w:rsidR="00CC4FCF" w:rsidRPr="000B021E" w:rsidRDefault="000B021E" w:rsidP="00A97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0B021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Нет</w:t>
            </w:r>
          </w:p>
        </w:tc>
      </w:tr>
      <w:tr w:rsidR="00CC4FCF" w:rsidRPr="00AD5423" w:rsidTr="00F07475">
        <w:tc>
          <w:tcPr>
            <w:tcW w:w="5085" w:type="dxa"/>
          </w:tcPr>
          <w:p w:rsidR="00CC4FCF" w:rsidRPr="00A761A9" w:rsidRDefault="00CC4FCF" w:rsidP="00F07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761A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 каким последствиям привела реализация проекта: педагогическим, социальным экономическим, культурным, экологическим?</w:t>
            </w:r>
          </w:p>
        </w:tc>
        <w:tc>
          <w:tcPr>
            <w:tcW w:w="5004" w:type="dxa"/>
          </w:tcPr>
          <w:p w:rsidR="00CC4FCF" w:rsidRPr="00A761A9" w:rsidRDefault="00CC4FCF" w:rsidP="00F07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761A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чём эти последствия положительны, в чём отрицательны?</w:t>
            </w:r>
          </w:p>
        </w:tc>
      </w:tr>
      <w:tr w:rsidR="00CC4FCF" w:rsidRPr="00AD5423" w:rsidTr="00F07475">
        <w:tc>
          <w:tcPr>
            <w:tcW w:w="5085" w:type="dxa"/>
          </w:tcPr>
          <w:p w:rsidR="00CC4FCF" w:rsidRDefault="00A247EB" w:rsidP="0062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247EB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Главным результатом реализации проекта ста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ло</w:t>
            </w:r>
            <w:r w:rsidRPr="00A247EB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увеличение численности </w:t>
            </w:r>
            <w:proofErr w:type="gramStart"/>
            <w:r w:rsidRPr="00A247EB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обучающихся</w:t>
            </w:r>
            <w:proofErr w:type="gramEnd"/>
            <w:r w:rsidRPr="00A247EB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по программе, реализуемой в сетевом режиме с Рыбинским филиалом колледжа </w:t>
            </w:r>
            <w:proofErr w:type="spellStart"/>
            <w:r w:rsidRPr="00A247EB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МУБиНТ</w:t>
            </w:r>
            <w:proofErr w:type="spellEnd"/>
            <w:r w:rsidRPr="00A247EB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. </w:t>
            </w:r>
          </w:p>
          <w:p w:rsidR="006257F9" w:rsidRPr="000B021E" w:rsidRDefault="006257F9" w:rsidP="0062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Помимо этого, полученный педагогический опыт в реализации ДООП в сетевом режиме позволяет углубить проф. мастерство педагогов в дидактическом и воспитательном спектре. </w:t>
            </w:r>
          </w:p>
        </w:tc>
        <w:tc>
          <w:tcPr>
            <w:tcW w:w="5004" w:type="dxa"/>
          </w:tcPr>
          <w:p w:rsidR="00CC4FCF" w:rsidRPr="000B021E" w:rsidRDefault="006257F9" w:rsidP="0062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Это говорит об интересе старшеклассников к программам дополнительного образования по финан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сово-экономическому направлению, что позволяет расширить образовательное пространство для старшеклассников и повысить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аттрактивность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дополнительного образования.</w:t>
            </w:r>
          </w:p>
        </w:tc>
      </w:tr>
      <w:tr w:rsidR="00CC4FCF" w:rsidRPr="00AD5423" w:rsidTr="00F07475">
        <w:tc>
          <w:tcPr>
            <w:tcW w:w="10089" w:type="dxa"/>
            <w:gridSpan w:val="2"/>
          </w:tcPr>
          <w:p w:rsidR="00CC4FCF" w:rsidRPr="00AD5423" w:rsidRDefault="00CC4FCF" w:rsidP="00F0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761A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Какова дальнейшая «судьба» нововведений проекта?</w:t>
            </w:r>
          </w:p>
        </w:tc>
      </w:tr>
      <w:tr w:rsidR="00CC4FCF" w:rsidRPr="00AD5423" w:rsidTr="00F07475">
        <w:tc>
          <w:tcPr>
            <w:tcW w:w="10089" w:type="dxa"/>
            <w:gridSpan w:val="2"/>
          </w:tcPr>
          <w:p w:rsidR="00A97603" w:rsidRPr="000B021E" w:rsidRDefault="00A97603" w:rsidP="000B0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Настоящий проект послужил базой для разработки заявки на соискание статуса РИП. На сегодняшний день результаты проекта продолжают существовать на практике: ведется реализация ДООП в успешно сетевой форме, расширяются формы сотрудничества с другими организациями-партнерами с целю повышения качества и привлекательности ДООП,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реализуемых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Центром «Молодые таланты». </w:t>
            </w:r>
          </w:p>
          <w:p w:rsidR="00CC4FCF" w:rsidRPr="000C20CA" w:rsidRDefault="00CC4FCF" w:rsidP="00F07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</w:tbl>
    <w:p w:rsidR="008951BD" w:rsidRDefault="008951BD"/>
    <w:sectPr w:rsidR="0089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5344B"/>
    <w:multiLevelType w:val="hybridMultilevel"/>
    <w:tmpl w:val="AE2A040C"/>
    <w:lvl w:ilvl="0" w:tplc="8F788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CF"/>
    <w:rsid w:val="000B021E"/>
    <w:rsid w:val="000C20CA"/>
    <w:rsid w:val="001A1AC3"/>
    <w:rsid w:val="002D0F18"/>
    <w:rsid w:val="005561E5"/>
    <w:rsid w:val="006257F9"/>
    <w:rsid w:val="008951BD"/>
    <w:rsid w:val="00983000"/>
    <w:rsid w:val="009B59FD"/>
    <w:rsid w:val="00A247EB"/>
    <w:rsid w:val="00A62E46"/>
    <w:rsid w:val="00A97603"/>
    <w:rsid w:val="00AE7548"/>
    <w:rsid w:val="00CC4FCF"/>
    <w:rsid w:val="00F9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znmr</dc:creator>
  <cp:lastModifiedBy>Молодые таланты</cp:lastModifiedBy>
  <cp:revision>4</cp:revision>
  <dcterms:created xsi:type="dcterms:W3CDTF">2020-01-29T08:20:00Z</dcterms:created>
  <dcterms:modified xsi:type="dcterms:W3CDTF">2020-01-29T08:26:00Z</dcterms:modified>
</cp:coreProperties>
</file>